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70" w:before="0" w:line="330"/>
        <w:jc w:val="start"/>
      </w:pPr>
      <w:r>
        <w:rPr>
          <w:rFonts w:ascii="Arial" w:cs="Arial" w:eastAsia="Arial" w:hAnsi="Arial"/>
          <w:b/>
          <w:bCs/>
          <w:i w:val="false"/>
          <w:color w:val="222831"/>
          <w:sz w:val="60"/>
          <w:szCs w:val="60"/>
          <w:rtl/>
        </w:rPr>
        <w:t xml:space="preserve">عبدالرحمن الدوسري</w:t>
      </w:r>
    </w:p>
    <w:p>
      <w:pPr>
        <w:bidi/>
        <w:spacing w:after="80" w:before="0" w:line="276"/>
        <w:jc w:val="start"/>
      </w:pPr>
      <w:r>
        <w:rPr>
          <w:rFonts w:ascii="Arial" w:cs="Arial" w:eastAsia="Arial" w:hAnsi="Arial"/>
          <w:b w:val="false"/>
          <w:i w:val="false"/>
          <w:color w:val="B8860B"/>
          <w:sz w:val="28"/>
          <w:szCs w:val="28"/>
          <w:rtl/>
        </w:rPr>
        <w:t xml:space="preserve">المدير التنفيذي للعمليات</w:t>
      </w:r>
    </w:p>
    <w:p>
      <w:pPr>
        <w:bidi/>
        <w:spacing w:after="140" w:before="0" w:line="276"/>
        <w:jc w:val="start"/>
      </w:pPr>
      <w:r>
        <w:rPr>
          <w:rFonts w:ascii="Arial" w:cs="Arial" w:eastAsia="Arial" w:hAnsi="Arial"/>
          <w:b w:val="false"/>
          <w:i w:val="false"/>
          <w:sz w:val="19"/>
          <w:szCs w:val="19"/>
          <w:rtl/>
        </w:rPr>
        <w:t xml:space="preserve">الدوحة، قطر</w:t>
      </w:r>
      <w:r>
        <w:rPr>
          <w:rFonts w:ascii="Arial" w:cs="Arial" w:eastAsia="Arial" w:hAnsi="Arial"/>
          <w:b w:val="false"/>
          <w:i w:val="false"/>
          <w:color w:val="AAAAAA"/>
          <w:sz w:val="19"/>
          <w:szCs w:val="19"/>
          <w:rtl/>
        </w:rPr>
        <w:t xml:space="preserve">   |   </w:t>
      </w:r>
      <w:r>
        <w:rPr>
          <w:rFonts w:ascii="Arial" w:cs="Arial" w:eastAsia="Arial" w:hAnsi="Arial"/>
          <w:b w:val="false"/>
          <w:sz w:val="19"/>
          <w:szCs w:val="19"/>
          <w:rtl w:val="false"/>
        </w:rPr>
        <w:t xml:space="preserve">‪+974 5000 0000‬</w:t>
      </w:r>
      <w:r>
        <w:rPr>
          <w:rFonts w:ascii="Arial" w:cs="Arial" w:eastAsia="Arial" w:hAnsi="Arial"/>
          <w:b w:val="false"/>
          <w:i w:val="false"/>
          <w:color w:val="AAAAAA"/>
          <w:sz w:val="19"/>
          <w:szCs w:val="19"/>
          <w:rtl/>
        </w:rPr>
        <w:t xml:space="preserve">   |   </w:t>
      </w:r>
      <w:r>
        <w:rPr>
          <w:rFonts w:ascii="Arial" w:cs="Arial" w:eastAsia="Arial" w:hAnsi="Arial"/>
          <w:b w:val="false"/>
          <w:sz w:val="19"/>
          <w:szCs w:val="19"/>
          <w:rtl w:val="false"/>
        </w:rPr>
        <w:t xml:space="preserve">‪abdulrahman@example.com‬</w:t>
      </w:r>
      <w:r>
        <w:rPr>
          <w:rFonts w:ascii="Arial" w:cs="Arial" w:eastAsia="Arial" w:hAnsi="Arial"/>
          <w:b w:val="false"/>
          <w:i w:val="false"/>
          <w:color w:val="AAAAAA"/>
          <w:sz w:val="19"/>
          <w:szCs w:val="19"/>
          <w:rtl/>
        </w:rPr>
        <w:t xml:space="preserve">   |   </w:t>
      </w:r>
      <w:r>
        <w:rPr>
          <w:rFonts w:ascii="Arial" w:cs="Arial" w:eastAsia="Arial" w:hAnsi="Arial"/>
          <w:b w:val="false"/>
          <w:sz w:val="19"/>
          <w:szCs w:val="19"/>
          <w:rtl w:val="false"/>
        </w:rPr>
        <w:t xml:space="preserve">‪linkedin.com/in/abdulrahman‬</w:t>
      </w:r>
    </w:p>
    <w:tbl>
      <w:tblPr>
        <w:bidiVisual/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6"/>
        <w:gridCol w:w="2476"/>
        <w:gridCol w:w="2477"/>
        <w:gridCol w:w="2477"/>
      </w:tblGrid>
      <w:tr>
        <w:tc>
          <w:tcPr>
            <w:tcW w:type="dxa" w:w="2476"/>
            <w:tcBorders>
              <w:top w:val="single" w:color="B8860B" w:sz="12"/>
              <w:left w:val="single" w:color="FFFFFF" w:sz="24"/>
              <w:bottom w:val="none" w:color="FFFFFF" w:sz="0"/>
              <w:right w:val="single" w:color="FFFFFF" w:sz="24"/>
            </w:tcBorders>
            <w:shd w:fill="F6F3EA" w:color="auto" w:val="clear"/>
            <w:tcMar>
              <w:top w:type="dxa" w:w="140"/>
              <w:left w:type="dxa" w:w="80"/>
              <w:bottom w:type="dxa" w:w="140"/>
              <w:right w:type="dxa" w:w="80"/>
            </w:tcMar>
            <w:vAlign w:val="center"/>
          </w:tcPr>
          <w:p>
            <w:pPr>
              <w:bidi/>
              <w:spacing w:after="2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B8860B"/>
                <w:sz w:val="40"/>
                <w:szCs w:val="40"/>
                <w:rtl w:val="false"/>
              </w:rPr>
              <w:t xml:space="preserve">‪+38%‬</w:t>
            </w:r>
          </w:p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i w:val="false"/>
                <w:color w:val="555B66"/>
                <w:sz w:val="18"/>
                <w:szCs w:val="18"/>
                <w:rtl/>
              </w:rPr>
              <w:t xml:space="preserve">نمو الإيرادات التشغيلية</w:t>
            </w:r>
          </w:p>
        </w:tc>
        <w:tc>
          <w:tcPr>
            <w:tcW w:type="dxa" w:w="2476"/>
            <w:tcBorders>
              <w:top w:val="single" w:color="B8860B" w:sz="12"/>
              <w:left w:val="single" w:color="FFFFFF" w:sz="24"/>
              <w:bottom w:val="none" w:color="FFFFFF" w:sz="0"/>
              <w:right w:val="single" w:color="FFFFFF" w:sz="24"/>
            </w:tcBorders>
            <w:shd w:fill="F6F3EA" w:color="auto" w:val="clear"/>
            <w:tcMar>
              <w:top w:type="dxa" w:w="140"/>
              <w:left w:type="dxa" w:w="80"/>
              <w:bottom w:type="dxa" w:w="140"/>
              <w:right w:type="dxa" w:w="80"/>
            </w:tcMar>
            <w:vAlign w:val="center"/>
          </w:tcPr>
          <w:p>
            <w:pPr>
              <w:bidi/>
              <w:spacing w:after="2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B8860B"/>
                <w:sz w:val="40"/>
                <w:szCs w:val="40"/>
                <w:rtl w:val="false"/>
              </w:rPr>
              <w:t xml:space="preserve">‪22%‬</w:t>
            </w:r>
          </w:p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i w:val="false"/>
                <w:color w:val="555B66"/>
                <w:sz w:val="18"/>
                <w:szCs w:val="18"/>
                <w:rtl/>
              </w:rPr>
              <w:t xml:space="preserve">خفض التكاليف السنوية</w:t>
            </w:r>
          </w:p>
        </w:tc>
        <w:tc>
          <w:tcPr>
            <w:tcW w:type="dxa" w:w="2477"/>
            <w:tcBorders>
              <w:top w:val="single" w:color="B8860B" w:sz="12"/>
              <w:left w:val="single" w:color="FFFFFF" w:sz="24"/>
              <w:bottom w:val="none" w:color="FFFFFF" w:sz="0"/>
              <w:right w:val="single" w:color="FFFFFF" w:sz="24"/>
            </w:tcBorders>
            <w:shd w:fill="F6F3EA" w:color="auto" w:val="clear"/>
            <w:tcMar>
              <w:top w:type="dxa" w:w="140"/>
              <w:left w:type="dxa" w:w="80"/>
              <w:bottom w:type="dxa" w:w="140"/>
              <w:right w:type="dxa" w:w="80"/>
            </w:tcMar>
            <w:vAlign w:val="center"/>
          </w:tcPr>
          <w:p>
            <w:pPr>
              <w:bidi/>
              <w:spacing w:after="2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B8860B"/>
                <w:sz w:val="40"/>
                <w:szCs w:val="40"/>
                <w:rtl w:val="false"/>
              </w:rPr>
              <w:t xml:space="preserve">‪1,400‬</w:t>
            </w:r>
          </w:p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i w:val="false"/>
                <w:color w:val="555B66"/>
                <w:sz w:val="18"/>
                <w:szCs w:val="18"/>
                <w:rtl/>
              </w:rPr>
              <w:t xml:space="preserve">موظف تحت الإشراف</w:t>
            </w:r>
          </w:p>
        </w:tc>
        <w:tc>
          <w:tcPr>
            <w:tcW w:type="dxa" w:w="2477"/>
            <w:tcBorders>
              <w:top w:val="single" w:color="B8860B" w:sz="12"/>
              <w:left w:val="single" w:color="FFFFFF" w:sz="24"/>
              <w:bottom w:val="none" w:color="FFFFFF" w:sz="0"/>
              <w:right w:val="single" w:color="FFFFFF" w:sz="24"/>
            </w:tcBorders>
            <w:shd w:fill="F6F3EA" w:color="auto" w:val="clear"/>
            <w:tcMar>
              <w:top w:type="dxa" w:w="140"/>
              <w:left w:type="dxa" w:w="80"/>
              <w:bottom w:type="dxa" w:w="140"/>
              <w:right w:type="dxa" w:w="80"/>
            </w:tcMar>
            <w:vAlign w:val="center"/>
          </w:tcPr>
          <w:p>
            <w:pPr>
              <w:bidi/>
              <w:spacing w:after="2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B8860B"/>
                <w:sz w:val="40"/>
                <w:szCs w:val="40"/>
                <w:rtl w:val="false"/>
              </w:rPr>
              <w:t xml:space="preserve">‪9‬</w:t>
            </w:r>
          </w:p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i w:val="false"/>
                <w:color w:val="555B66"/>
                <w:sz w:val="18"/>
                <w:szCs w:val="18"/>
                <w:rtl/>
              </w:rPr>
              <w:t xml:space="preserve">دول تشغيلية</w:t>
            </w:r>
          </w:p>
        </w:tc>
      </w:tr>
    </w:tbl>
    <w:p>
      <w:pPr>
        <w:keepNext/>
        <w:pBdr>
          <w:bottom w:val="single" w:color="B8860B" w:sz="10" w:space="3"/>
        </w:pBdr>
        <w:bidi/>
        <w:spacing w:after="100" w:before="230" w:line="276"/>
        <w:jc w:val="start"/>
      </w:pPr>
      <w:r>
        <w:rPr>
          <w:rFonts w:ascii="Arial" w:cs="Arial" w:eastAsia="Arial" w:hAnsi="Arial"/>
          <w:b/>
          <w:bCs/>
          <w:i w:val="false"/>
          <w:color w:val="222831"/>
          <w:spacing w:val="20"/>
          <w:sz w:val="24"/>
          <w:szCs w:val="24"/>
          <w:rtl/>
        </w:rPr>
        <w:t xml:space="preserve">الملخص التنفيذي</w:t>
      </w:r>
    </w:p>
    <w:p>
      <w:pPr>
        <w:bidi/>
        <w:spacing w:after="60" w:before="0" w:line="305"/>
        <w:jc w:val="start"/>
      </w:pPr>
      <w:r>
        <w:rPr>
          <w:rFonts w:ascii="Arial" w:cs="Arial" w:eastAsia="Arial" w:hAnsi="Arial"/>
          <w:b w:val="false"/>
          <w:i w:val="false"/>
          <w:sz w:val="21"/>
          <w:szCs w:val="21"/>
          <w:rtl/>
        </w:rPr>
        <w:t xml:space="preserve">قائد عمليات بخبرة تتجاوز 18 عاماً في قطاع التجزئة وسلاسل الإمداد، قاد تحولات تشغيلية في تسع دول، ورفع الربحية عبر تحسين الكفاءة وإعادة هيكلة الموردين وبناء فرق عالية الأداء.</w:t>
      </w:r>
    </w:p>
    <w:p>
      <w:pPr>
        <w:keepNext/>
        <w:pBdr>
          <w:bottom w:val="single" w:color="B8860B" w:sz="10" w:space="3"/>
        </w:pBdr>
        <w:bidi/>
        <w:spacing w:after="100" w:before="230" w:line="276"/>
        <w:jc w:val="start"/>
      </w:pPr>
      <w:r>
        <w:rPr>
          <w:rFonts w:ascii="Arial" w:cs="Arial" w:eastAsia="Arial" w:hAnsi="Arial"/>
          <w:b/>
          <w:bCs/>
          <w:i w:val="false"/>
          <w:color w:val="222831"/>
          <w:spacing w:val="20"/>
          <w:sz w:val="24"/>
          <w:szCs w:val="24"/>
          <w:rtl/>
        </w:rPr>
        <w:t xml:space="preserve">الخبرة القيادية</w:t>
      </w:r>
    </w:p>
    <w:p>
      <w:pPr>
        <w:keepNext/>
        <w:bidi/>
        <w:spacing w:after="10" w:before="0" w:line="276"/>
        <w:jc w:val="start"/>
      </w:pPr>
      <w:r>
        <w:rPr>
          <w:rFonts w:ascii="Arial" w:cs="Arial" w:eastAsia="Arial" w:hAnsi="Arial"/>
          <w:b/>
          <w:bCs/>
          <w:i w:val="false"/>
          <w:sz w:val="23"/>
          <w:szCs w:val="23"/>
          <w:rtl/>
        </w:rPr>
        <w:t xml:space="preserve">المدير التنفيذي للعمليات</w:t>
      </w:r>
    </w:p>
    <w:p>
      <w:pPr>
        <w:keepNext/>
        <w:bidi/>
        <w:spacing w:after="60" w:before="0" w:line="276"/>
        <w:jc w:val="start"/>
      </w:pPr>
      <w:r>
        <w:rPr>
          <w:rFonts w:ascii="Arial" w:cs="Arial" w:eastAsia="Arial" w:hAnsi="Arial"/>
          <w:b/>
          <w:bCs/>
          <w:i w:val="false"/>
          <w:color w:val="B8860B"/>
          <w:sz w:val="21"/>
          <w:szCs w:val="21"/>
          <w:rtl/>
        </w:rPr>
        <w:t xml:space="preserve">مجموعة الخليج للتجزئة</w:t>
      </w:r>
      <w:r>
        <w:rPr>
          <w:rFonts w:ascii="Arial" w:cs="Arial" w:eastAsia="Arial" w:hAnsi="Arial"/>
          <w:b w:val="false"/>
          <w:i w:val="false"/>
          <w:color w:val="555B66"/>
          <w:sz w:val="20"/>
          <w:szCs w:val="20"/>
          <w:rtl/>
        </w:rPr>
        <w:t xml:space="preserve">   |   الدوحة   2020 إلى الآن</w:t>
      </w:r>
    </w:p>
    <w:p>
      <w:pPr>
        <w:pStyle w:val="ListParagraph"/>
        <w:numPr>
          <w:ilvl w:val="0"/>
          <w:numId w:val="2"/>
        </w:numPr>
        <w:bidi/>
        <w:spacing w:after="40" w:before="0" w:line="270"/>
        <w:jc w:val="start"/>
      </w:pPr>
      <w:r>
        <w:rPr>
          <w:rFonts w:ascii="Arial" w:cs="Arial" w:eastAsia="Arial" w:hAnsi="Arial"/>
          <w:b w:val="false"/>
          <w:i w:val="false"/>
          <w:sz w:val="20"/>
          <w:szCs w:val="20"/>
          <w:rtl/>
        </w:rPr>
        <w:t xml:space="preserve">قاد برنامج التحول التشغيلي الذي رفع الإيرادات التشغيلية بنسبة 38% وخفض التكاليف بنسبة 22% خلال ثلاث سنوات.</w:t>
      </w:r>
    </w:p>
    <w:p>
      <w:pPr>
        <w:pStyle w:val="ListParagraph"/>
        <w:numPr>
          <w:ilvl w:val="0"/>
          <w:numId w:val="2"/>
        </w:numPr>
        <w:bidi/>
        <w:spacing w:after="40" w:before="0" w:line="270"/>
        <w:jc w:val="start"/>
      </w:pPr>
      <w:r>
        <w:rPr>
          <w:rFonts w:ascii="Arial" w:cs="Arial" w:eastAsia="Arial" w:hAnsi="Arial"/>
          <w:b w:val="false"/>
          <w:i w:val="false"/>
          <w:sz w:val="20"/>
          <w:szCs w:val="20"/>
          <w:rtl/>
        </w:rPr>
        <w:t xml:space="preserve">أعاد هيكلة شبكة الإمداد وخفض زمن التوريد من 14 يوماً إلى 6 أيام.</w:t>
      </w:r>
    </w:p>
    <w:p>
      <w:pPr>
        <w:pStyle w:val="ListParagraph"/>
        <w:numPr>
          <w:ilvl w:val="0"/>
          <w:numId w:val="2"/>
        </w:numPr>
        <w:bidi/>
        <w:spacing w:after="40" w:before="0" w:line="270"/>
        <w:jc w:val="start"/>
      </w:pPr>
      <w:r>
        <w:rPr>
          <w:rFonts w:ascii="Arial" w:cs="Arial" w:eastAsia="Arial" w:hAnsi="Arial"/>
          <w:b w:val="false"/>
          <w:i w:val="false"/>
          <w:sz w:val="20"/>
          <w:szCs w:val="20"/>
          <w:rtl/>
        </w:rPr>
        <w:t xml:space="preserve">أسس مركز التميز التشغيلي وأدار ميزانية سنوية بقيمة 85 مليون ريال.</w:t>
      </w:r>
    </w:p>
    <w:p>
      <w:pPr>
        <w:bidi/>
        <w:spacing w:after="70" w:before="0" w:line="240"/>
        <w:jc w:val="start"/>
        <w:rPr>
          <w:sz w:val="2"/>
          <w:szCs w:val="2"/>
        </w:rPr>
      </w:pPr>
    </w:p>
    <w:p>
      <w:pPr>
        <w:keepNext/>
        <w:bidi/>
        <w:spacing w:after="10" w:before="0" w:line="276"/>
        <w:jc w:val="start"/>
      </w:pPr>
      <w:r>
        <w:rPr>
          <w:rFonts w:ascii="Arial" w:cs="Arial" w:eastAsia="Arial" w:hAnsi="Arial"/>
          <w:b/>
          <w:bCs/>
          <w:i w:val="false"/>
          <w:sz w:val="23"/>
          <w:szCs w:val="23"/>
          <w:rtl/>
        </w:rPr>
        <w:t xml:space="preserve">مدير عمليات إقليمي</w:t>
      </w:r>
    </w:p>
    <w:p>
      <w:pPr>
        <w:keepNext/>
        <w:bidi/>
        <w:spacing w:after="60" w:before="0" w:line="276"/>
        <w:jc w:val="start"/>
      </w:pPr>
      <w:r>
        <w:rPr>
          <w:rFonts w:ascii="Arial" w:cs="Arial" w:eastAsia="Arial" w:hAnsi="Arial"/>
          <w:b/>
          <w:bCs/>
          <w:i w:val="false"/>
          <w:color w:val="B8860B"/>
          <w:sz w:val="21"/>
          <w:szCs w:val="21"/>
          <w:rtl/>
        </w:rPr>
        <w:t xml:space="preserve">شركة الشرق للتوزيع</w:t>
      </w:r>
      <w:r>
        <w:rPr>
          <w:rFonts w:ascii="Arial" w:cs="Arial" w:eastAsia="Arial" w:hAnsi="Arial"/>
          <w:b w:val="false"/>
          <w:i w:val="false"/>
          <w:color w:val="555B66"/>
          <w:sz w:val="20"/>
          <w:szCs w:val="20"/>
          <w:rtl/>
        </w:rPr>
        <w:t xml:space="preserve">   |   الدوحة   2014 إلى 2020</w:t>
      </w:r>
    </w:p>
    <w:p>
      <w:pPr>
        <w:pStyle w:val="ListParagraph"/>
        <w:numPr>
          <w:ilvl w:val="0"/>
          <w:numId w:val="2"/>
        </w:numPr>
        <w:bidi/>
        <w:spacing w:after="40" w:before="0" w:line="270"/>
        <w:jc w:val="start"/>
      </w:pPr>
      <w:r>
        <w:rPr>
          <w:rFonts w:ascii="Arial" w:cs="Arial" w:eastAsia="Arial" w:hAnsi="Arial"/>
          <w:b w:val="false"/>
          <w:i w:val="false"/>
          <w:sz w:val="20"/>
          <w:szCs w:val="20"/>
          <w:rtl/>
        </w:rPr>
        <w:t xml:space="preserve">أشرف على عمليات ست دول وأطلق 40 فرعاً جديداً بنسبة نجاح تجاوزت 90%.</w:t>
      </w:r>
    </w:p>
    <w:p>
      <w:pPr>
        <w:pStyle w:val="ListParagraph"/>
        <w:numPr>
          <w:ilvl w:val="0"/>
          <w:numId w:val="2"/>
        </w:numPr>
        <w:bidi/>
        <w:spacing w:after="40" w:before="0" w:line="270"/>
        <w:jc w:val="start"/>
      </w:pPr>
      <w:r>
        <w:rPr>
          <w:rFonts w:ascii="Arial" w:cs="Arial" w:eastAsia="Arial" w:hAnsi="Arial"/>
          <w:b w:val="false"/>
          <w:i w:val="false"/>
          <w:sz w:val="20"/>
          <w:szCs w:val="20"/>
          <w:rtl/>
        </w:rPr>
        <w:t xml:space="preserve">وضع إطار حوكمة للمخاطر التشغيلية اعتمده مجلس الإدارة.</w:t>
      </w:r>
    </w:p>
    <w:p>
      <w:pPr>
        <w:bidi/>
        <w:spacing w:after="70" w:before="0" w:line="240"/>
        <w:jc w:val="start"/>
        <w:rPr>
          <w:sz w:val="2"/>
          <w:szCs w:val="2"/>
        </w:rPr>
      </w:pPr>
    </w:p>
    <w:p>
      <w:pPr>
        <w:keepNext/>
        <w:pBdr>
          <w:bottom w:val="single" w:color="B8860B" w:sz="10" w:space="3"/>
        </w:pBdr>
        <w:bidi/>
        <w:spacing w:after="100" w:before="230" w:line="276"/>
        <w:jc w:val="start"/>
      </w:pPr>
      <w:r>
        <w:rPr>
          <w:rFonts w:ascii="Arial" w:cs="Arial" w:eastAsia="Arial" w:hAnsi="Arial"/>
          <w:b/>
          <w:bCs/>
          <w:i w:val="false"/>
          <w:color w:val="222831"/>
          <w:spacing w:val="20"/>
          <w:sz w:val="24"/>
          <w:szCs w:val="24"/>
          <w:rtl/>
        </w:rPr>
        <w:t xml:space="preserve">الكفاءات الأساسية</w:t>
      </w:r>
    </w:p>
    <w:p>
      <w:pPr>
        <w:bidi/>
        <w:spacing w:after="60" w:before="0" w:line="330"/>
        <w:jc w:val="start"/>
      </w:pPr>
      <w:r>
        <w:rPr>
          <w:rFonts w:ascii="Arial" w:cs="Arial" w:eastAsia="Arial" w:hAnsi="Arial"/>
          <w:b w:val="false"/>
          <w:i w:val="false"/>
          <w:sz w:val="21"/>
          <w:szCs w:val="21"/>
          <w:rtl/>
        </w:rPr>
        <w:t xml:space="preserve">القيادة الاستراتيجية   •   إدارة سلاسل الإمداد   •   التحول التشغيلي   •   الحوكمة وإدارة المخاطر   •   التفاوض مع الموردين   •   بناء الفرق</w:t>
      </w:r>
    </w:p>
    <w:p>
      <w:pPr>
        <w:keepNext/>
        <w:pBdr>
          <w:bottom w:val="single" w:color="B8860B" w:sz="10" w:space="3"/>
        </w:pBdr>
        <w:bidi/>
        <w:spacing w:after="100" w:before="230" w:line="276"/>
        <w:jc w:val="start"/>
      </w:pPr>
      <w:r>
        <w:rPr>
          <w:rFonts w:ascii="Arial" w:cs="Arial" w:eastAsia="Arial" w:hAnsi="Arial"/>
          <w:b/>
          <w:bCs/>
          <w:i w:val="false"/>
          <w:color w:val="222831"/>
          <w:spacing w:val="20"/>
          <w:sz w:val="24"/>
          <w:szCs w:val="24"/>
          <w:rtl/>
        </w:rPr>
        <w:t xml:space="preserve">التعليم والعضويات</w:t>
      </w:r>
    </w:p>
    <w:p>
      <w:pPr>
        <w:pStyle w:val="ListParagraph"/>
        <w:numPr>
          <w:ilvl w:val="0"/>
          <w:numId w:val="2"/>
        </w:numPr>
        <w:bidi/>
        <w:spacing w:after="40" w:before="0" w:line="270"/>
        <w:jc w:val="start"/>
      </w:pPr>
      <w:r>
        <w:rPr>
          <w:rFonts w:ascii="Arial" w:cs="Arial" w:eastAsia="Arial" w:hAnsi="Arial"/>
          <w:b w:val="false"/>
          <w:i w:val="false"/>
          <w:sz w:val="21"/>
          <w:szCs w:val="21"/>
          <w:rtl/>
        </w:rPr>
        <w:t xml:space="preserve">ماجستير إدارة الأعمال التنفيذي، 2015</w:t>
      </w:r>
    </w:p>
    <w:p>
      <w:pPr>
        <w:pStyle w:val="ListParagraph"/>
        <w:numPr>
          <w:ilvl w:val="0"/>
          <w:numId w:val="2"/>
        </w:numPr>
        <w:bidi/>
        <w:spacing w:after="40" w:before="0" w:line="270"/>
        <w:jc w:val="start"/>
      </w:pPr>
      <w:r>
        <w:rPr>
          <w:rFonts w:ascii="Arial" w:cs="Arial" w:eastAsia="Arial" w:hAnsi="Arial"/>
          <w:b w:val="false"/>
          <w:i w:val="false"/>
          <w:sz w:val="21"/>
          <w:szCs w:val="21"/>
          <w:rtl/>
        </w:rPr>
        <w:t xml:space="preserve">بكالوريوس الهندسة الصناعية، جامعة قطر، 2006</w:t>
      </w:r>
    </w:p>
    <w:p>
      <w:pPr>
        <w:pStyle w:val="ListParagraph"/>
        <w:numPr>
          <w:ilvl w:val="0"/>
          <w:numId w:val="2"/>
        </w:numPr>
        <w:bidi/>
        <w:spacing w:after="40" w:before="0" w:line="270"/>
        <w:jc w:val="start"/>
      </w:pPr>
      <w:r>
        <w:rPr>
          <w:rFonts w:ascii="Arial" w:cs="Arial" w:eastAsia="Arial" w:hAnsi="Arial"/>
          <w:b w:val="false"/>
          <w:i w:val="false"/>
          <w:sz w:val="21"/>
          <w:szCs w:val="21"/>
          <w:rtl/>
        </w:rPr>
        <w:t xml:space="preserve">عضو مجلس إدارة في شركة [اسم الشركة] منذ 2022</w:t>
      </w:r>
    </w:p>
    <w:sectPr>
      <w:pgSz w:w="11906" w:h="16838" w:orient="portrait"/>
      <w:pgMar w:top="800" w:right="1000" w:bottom="65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start="340" w:hanging="230"/>
      </w:pPr>
      <w:rPr>
        <w:rFonts w:ascii="Arial" w:cs="Arial" w:eastAsia="Arial" w:hAnsi="Arial"/>
        <w:color w:val="B8860B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قالب سيرة ذاتية: التنفيذي</dc:title>
  <dc:creator>محتوى 0.4</dc:creator>
  <dc:description>قالب سيرة ذاتية عربي بصيغة Word</dc:description>
  <cp:lastModifiedBy>Un-named</cp:lastModifiedBy>
  <cp:revision>1</cp:revision>
  <dcterms:created xsi:type="dcterms:W3CDTF">2026-10-24T09:01:51.143Z</dcterms:created>
  <dcterms:modified xsi:type="dcterms:W3CDTF">2026-10-24T09:01:51.143Z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