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0"/>
        <w:gridCol w:w="3506"/>
      </w:tblGrid>
      <w:tr>
        <w:tc>
          <w:tcPr>
            <w:tcW w:type="dxa" w:w="6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80" w:before="0" w:line="320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D4ED8"/>
                <w:sz w:val="56"/>
                <w:szCs w:val="56"/>
                <w:rtl/>
              </w:rPr>
              <w:t xml:space="preserve">ليلى المنصوري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5B6472"/>
                <w:sz w:val="26"/>
                <w:szCs w:val="26"/>
                <w:rtl/>
              </w:rPr>
              <w:t xml:space="preserve">محاسبة ومحللة مالية</w:t>
            </w:r>
          </w:p>
        </w:tc>
        <w:tc>
          <w:tcPr>
            <w:tcW w:type="dxa" w:w="3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19"/>
                <w:szCs w:val="19"/>
                <w:rtl/>
              </w:rPr>
              <w:t xml:space="preserve">الدار البيضاء، المغرب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‪+212 6 00 00 00 00‬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‪laila@example.com‬</w:t>
            </w:r>
          </w:p>
        </w:tc>
      </w:tr>
    </w:tbl>
    <w:p>
      <w:pPr>
        <w:pBdr>
          <w:bottom w:val="single" w:color="1D4ED8" w:sz="14" w:space="1"/>
        </w:pBdr>
        <w:bidi/>
        <w:spacing w:after="40" w:before="0" w:line="276"/>
        <w:jc w:val="start"/>
        <w:rPr>
          <w:sz w:val="2"/>
          <w:szCs w:val="2"/>
        </w:rPr>
      </w:pPr>
    </w:p>
    <w:p>
      <w:pPr>
        <w:keepNext/>
        <w:bidi/>
        <w:spacing w:after="100" w:before="230" w:line="276"/>
        <w:jc w:val="start"/>
      </w:pPr>
      <w:r>
        <w:rPr>
          <w:rFonts w:ascii="Tahoma" w:cs="Tahoma" w:eastAsia="Tahoma" w:hAnsi="Tahoma"/>
          <w:b/>
          <w:bCs/>
          <w:i w:val="false"/>
          <w:color w:val="1D4ED8"/>
          <w:sz w:val="25"/>
          <w:szCs w:val="25"/>
          <w:rtl/>
        </w:rPr>
        <w:t xml:space="preserve">نبذة مهنية</w:t>
      </w:r>
    </w:p>
    <w:p>
      <w:pPr>
        <w:bidi/>
        <w:spacing w:after="60" w:before="0" w:line="300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محاسبة بخبرة ثماني سنوات في المحاسبة العامة والتصريحات الضريبية وإعداد القوائم المالية، أبحث عن دور يجمع بين التحليل المالي ودعم القرار.</w:t>
      </w:r>
    </w:p>
    <w:p>
      <w:pPr>
        <w:keepNext/>
        <w:bidi/>
        <w:spacing w:after="100" w:before="230" w:line="276"/>
        <w:jc w:val="start"/>
      </w:pPr>
      <w:r>
        <w:rPr>
          <w:rFonts w:ascii="Tahoma" w:cs="Tahoma" w:eastAsia="Tahoma" w:hAnsi="Tahoma"/>
          <w:b/>
          <w:bCs/>
          <w:i w:val="false"/>
          <w:color w:val="1D4ED8"/>
          <w:sz w:val="25"/>
          <w:szCs w:val="25"/>
          <w:rtl/>
        </w:rPr>
        <w:t xml:space="preserve">المسار المهني</w:t>
      </w:r>
    </w:p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70"/>
        <w:gridCol w:w="8086"/>
      </w:tblGrid>
      <w:tr>
        <w:trPr>
          <w:cantSplit/>
        </w:trPr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16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D4ED8"/>
                <w:sz w:val="20"/>
                <w:szCs w:val="20"/>
                <w:rtl/>
              </w:rPr>
              <w:t xml:space="preserve">2022 إلى الآن</w:t>
            </w:r>
          </w:p>
        </w:tc>
        <w:tc>
          <w:tcPr>
            <w:tcW w:type="dxa" w:w="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D0F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</w:p>
        </w:tc>
        <w:tc>
          <w:tcPr>
            <w:tcW w:type="dxa" w:w="8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300"/>
            </w:tcMar>
            <w:vAlign w:val="top"/>
          </w:tcPr>
          <w:p>
            <w:pPr>
              <w:keepNext/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2"/>
                <w:szCs w:val="22"/>
                <w:rtl/>
              </w:rPr>
              <w:t xml:space="preserve">محاسبة أولى</w:t>
            </w:r>
          </w:p>
          <w:p>
            <w:pPr>
              <w:keepNext/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/>
                <w:iCs/>
                <w:color w:val="5B6472"/>
                <w:sz w:val="20"/>
                <w:szCs w:val="20"/>
                <w:rtl/>
              </w:rPr>
              <w:t xml:space="preserve">شركة الأطلس للصناعات الغذائية، الدار البيضاء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أدارت إقفال الحسابات الشهري والسنوي في مدة لا تتجاوز خمسة أيام عمل.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أعدت التصريحات الضريبية للضريبة على القيمة المضافة والضريبة على الشركات دون أي غرامة تأخير.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أنشأت نماذج تتبع التدفقات النقدية في Excel خفضت زمن إعداد التقارير بنسبة 40%.</w:t>
            </w:r>
          </w:p>
          <w:p>
            <w:pPr>
              <w:bidi/>
              <w:spacing w:after="80" w:before="0" w:line="240"/>
              <w:jc w:val="start"/>
              <w:rPr>
                <w:sz w:val="2"/>
                <w:szCs w:val="2"/>
              </w:rPr>
            </w:pPr>
          </w:p>
        </w:tc>
      </w:tr>
      <w:tr>
        <w:trPr>
          <w:cantSplit/>
        </w:trPr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16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D4ED8"/>
                <w:sz w:val="20"/>
                <w:szCs w:val="20"/>
                <w:rtl/>
              </w:rPr>
              <w:t xml:space="preserve">2019 إلى 2022</w:t>
            </w:r>
          </w:p>
        </w:tc>
        <w:tc>
          <w:tcPr>
            <w:tcW w:type="dxa" w:w="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D0F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</w:p>
        </w:tc>
        <w:tc>
          <w:tcPr>
            <w:tcW w:type="dxa" w:w="8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300"/>
            </w:tcMar>
            <w:vAlign w:val="top"/>
          </w:tcPr>
          <w:p>
            <w:pPr>
              <w:keepNext/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2"/>
                <w:szCs w:val="22"/>
                <w:rtl/>
              </w:rPr>
              <w:t xml:space="preserve">محاسبة</w:t>
            </w:r>
          </w:p>
          <w:p>
            <w:pPr>
              <w:keepNext/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/>
                <w:iCs/>
                <w:color w:val="5B6472"/>
                <w:sz w:val="20"/>
                <w:szCs w:val="20"/>
                <w:rtl/>
              </w:rPr>
              <w:t xml:space="preserve">مكتب الخبرة المحاسبية الدولي، الدار البيضاء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راجعت حسابات 30 شركة صغيرة ومتوسطة وأعدت قوائمها المالية السنوية.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ساندت العملاء في الامتثال لمتطلبات الإدارة الضريبية.</w:t>
            </w:r>
          </w:p>
          <w:p>
            <w:pPr>
              <w:bidi/>
              <w:spacing w:after="80" w:before="0" w:line="240"/>
              <w:jc w:val="start"/>
              <w:rPr>
                <w:sz w:val="2"/>
                <w:szCs w:val="2"/>
              </w:rPr>
            </w:pPr>
          </w:p>
        </w:tc>
      </w:tr>
      <w:tr>
        <w:trPr>
          <w:cantSplit/>
        </w:trPr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16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D4ED8"/>
                <w:sz w:val="20"/>
                <w:szCs w:val="20"/>
                <w:rtl/>
              </w:rPr>
              <w:t xml:space="preserve">2017 إلى 2019</w:t>
            </w:r>
          </w:p>
        </w:tc>
        <w:tc>
          <w:tcPr>
            <w:tcW w:type="dxa" w:w="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D0F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</w:p>
        </w:tc>
        <w:tc>
          <w:tcPr>
            <w:tcW w:type="dxa" w:w="8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300"/>
            </w:tcMar>
            <w:vAlign w:val="top"/>
          </w:tcPr>
          <w:p>
            <w:pPr>
              <w:keepNext/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2"/>
                <w:szCs w:val="22"/>
                <w:rtl/>
              </w:rPr>
              <w:t xml:space="preserve">مساعدة محاسب</w:t>
            </w:r>
          </w:p>
          <w:p>
            <w:pPr>
              <w:keepNext/>
              <w:bidi/>
              <w:spacing w:after="5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/>
                <w:iCs/>
                <w:color w:val="5B6472"/>
                <w:sz w:val="20"/>
                <w:szCs w:val="20"/>
                <w:rtl/>
              </w:rPr>
              <w:t xml:space="preserve">شركة النور للتوزيع، المحمدية</w:t>
            </w:r>
          </w:p>
          <w:p>
            <w:pPr>
              <w:pStyle w:val="ListParagraph"/>
              <w:numPr>
                <w:ilvl w:val="0"/>
                <w:numId w:val="2"/>
              </w:numPr>
              <w:bidi/>
              <w:spacing w:after="40" w:before="0" w:line="270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سجلت القيود اليومية وأجرت التسويات البنكية شهرياً.</w:t>
            </w:r>
          </w:p>
          <w:p>
            <w:pPr>
              <w:bidi/>
              <w:spacing w:after="80" w:before="0" w:line="240"/>
              <w:jc w:val="start"/>
              <w:rPr>
                <w:sz w:val="2"/>
                <w:szCs w:val="2"/>
              </w:rPr>
            </w:pPr>
          </w:p>
        </w:tc>
      </w:tr>
    </w:tbl>
    <w:p>
      <w:pPr>
        <w:keepNext/>
        <w:bidi/>
        <w:spacing w:after="100" w:before="230" w:line="276"/>
        <w:jc w:val="start"/>
      </w:pPr>
      <w:r>
        <w:rPr>
          <w:rFonts w:ascii="Tahoma" w:cs="Tahoma" w:eastAsia="Tahoma" w:hAnsi="Tahoma"/>
          <w:b/>
          <w:bCs/>
          <w:i w:val="false"/>
          <w:color w:val="1D4ED8"/>
          <w:sz w:val="25"/>
          <w:szCs w:val="25"/>
          <w:rtl/>
        </w:rPr>
        <w:t xml:space="preserve">التعليم</w:t>
      </w:r>
    </w:p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0"/>
        <w:gridCol w:w="70"/>
        <w:gridCol w:w="8086"/>
      </w:tblGrid>
      <w:tr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16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1D4ED8"/>
                <w:sz w:val="20"/>
                <w:szCs w:val="20"/>
                <w:rtl/>
              </w:rPr>
              <w:t xml:space="preserve">2017</w:t>
            </w:r>
          </w:p>
        </w:tc>
        <w:tc>
          <w:tcPr>
            <w:tcW w:type="dxa" w:w="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D0F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0" w:before="0" w:line="276"/>
              <w:jc w:val="start"/>
            </w:pPr>
          </w:p>
        </w:tc>
        <w:tc>
          <w:tcPr>
            <w:tcW w:type="dxa" w:w="8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0"/>
              <w:right w:type="dxa" w:w="300"/>
            </w:tcMar>
            <w:vAlign w:val="top"/>
          </w:tcPr>
          <w:p>
            <w:pPr>
              <w:bidi/>
              <w:spacing w:after="10" w:before="0" w:line="276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sz w:val="22"/>
                <w:szCs w:val="22"/>
                <w:rtl/>
              </w:rPr>
              <w:t xml:space="preserve">ماستر في المحاسبة والمالية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/>
                <w:iCs/>
                <w:color w:val="5B6472"/>
                <w:sz w:val="20"/>
                <w:szCs w:val="20"/>
                <w:rtl/>
              </w:rPr>
              <w:t xml:space="preserve">جامعة الحسن الثاني، الدار البيضاء</w:t>
            </w:r>
          </w:p>
        </w:tc>
      </w:tr>
    </w:tbl>
    <w:p>
      <w:pPr>
        <w:keepNext/>
        <w:bidi/>
        <w:spacing w:after="100" w:before="230" w:line="276"/>
        <w:jc w:val="start"/>
      </w:pPr>
      <w:r>
        <w:rPr>
          <w:rFonts w:ascii="Tahoma" w:cs="Tahoma" w:eastAsia="Tahoma" w:hAnsi="Tahoma"/>
          <w:b/>
          <w:bCs/>
          <w:i w:val="false"/>
          <w:color w:val="1D4ED8"/>
          <w:sz w:val="25"/>
          <w:szCs w:val="25"/>
          <w:rtl/>
        </w:rPr>
        <w:t xml:space="preserve">المهارات واللغات</w:t>
      </w:r>
    </w:p>
    <w:p>
      <w:pPr>
        <w:bidi/>
        <w:spacing w:after="50" w:before="0" w:line="276"/>
        <w:jc w:val="start"/>
      </w:pPr>
      <w:r>
        <w:rPr>
          <w:rFonts w:ascii="Tahoma" w:cs="Tahoma" w:eastAsia="Tahoma" w:hAnsi="Tahoma"/>
          <w:b/>
          <w:bCs/>
          <w:i w:val="false"/>
          <w:sz w:val="20"/>
          <w:szCs w:val="20"/>
          <w:rtl/>
        </w:rPr>
        <w:t xml:space="preserve">الأدوات: </w:t>
      </w:r>
      <w:r>
        <w:rPr>
          <w:rFonts w:ascii="Tahoma" w:cs="Tahoma" w:eastAsia="Tahoma" w:hAnsi="Tahoma"/>
          <w:b w:val="false"/>
          <w:sz w:val="20"/>
          <w:szCs w:val="20"/>
          <w:rtl w:val="false"/>
        </w:rPr>
        <w:t xml:space="preserve">Sage</w:t>
      </w:r>
      <w:r>
        <w:rPr>
          <w:rFonts w:ascii="Tahoma" w:cs="Tahoma" w:eastAsia="Tahoma" w:hAnsi="Tahoma"/>
          <w:b w:val="false"/>
          <w:i w:val="false"/>
          <w:color w:val="AAAAAA"/>
          <w:sz w:val="21"/>
          <w:szCs w:val="21"/>
          <w:rtl/>
        </w:rPr>
        <w:t xml:space="preserve">   •   </w:t>
      </w:r>
      <w:r>
        <w:rPr>
          <w:rFonts w:ascii="Tahoma" w:cs="Tahoma" w:eastAsia="Tahoma" w:hAnsi="Tahoma"/>
          <w:b w:val="false"/>
          <w:sz w:val="20"/>
          <w:szCs w:val="20"/>
          <w:rtl w:val="false"/>
        </w:rPr>
        <w:t xml:space="preserve">Excel</w:t>
      </w:r>
      <w:r>
        <w:rPr>
          <w:rFonts w:ascii="Tahoma" w:cs="Tahoma" w:eastAsia="Tahoma" w:hAnsi="Tahoma"/>
          <w:b w:val="false"/>
          <w:i w:val="false"/>
          <w:color w:val="AAAAAA"/>
          <w:sz w:val="21"/>
          <w:szCs w:val="21"/>
          <w:rtl/>
        </w:rPr>
        <w:t xml:space="preserve">   •   </w:t>
      </w:r>
      <w:r>
        <w:rPr>
          <w:rFonts w:ascii="Tahoma" w:cs="Tahoma" w:eastAsia="Tahoma" w:hAnsi="Tahoma"/>
          <w:b w:val="false"/>
          <w:sz w:val="20"/>
          <w:szCs w:val="20"/>
          <w:rtl w:val="false"/>
        </w:rPr>
        <w:t xml:space="preserve">Power BI</w:t>
      </w:r>
    </w:p>
    <w:p>
      <w:pPr>
        <w:bidi/>
        <w:spacing w:after="50" w:before="0" w:line="276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المجالات: المحاسبة العامة   •   الضرائب   •   القوائم المالية   •   التحليل المالي</w:t>
      </w:r>
    </w:p>
    <w:p>
      <w:pPr>
        <w:bidi/>
        <w:spacing w:after="0" w:before="0" w:line="276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اللغات: العربية (لغة أم)   •   الفرنسية (متقدم)   •   الإنجليزية (جيد)</w:t>
      </w:r>
    </w:p>
    <w:sectPr>
      <w:pgSz w:w="11906" w:h="16838" w:orient="portrait"/>
      <w:pgMar w:top="850" w:right="1000" w:bottom="7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1D4ED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الخط الزمني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2026-10-24T09:01:51.005Z</dcterms:created>
  <dcterms:modified xsi:type="dcterms:W3CDTF">2026-10-24T09:01:51.005Z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