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 w:line="320"/>
        <w:jc w:val="center"/>
      </w:pPr>
      <w:r>
        <w:rPr>
          <w:rFonts w:ascii="Arial" w:cs="Arial" w:eastAsia="Arial" w:hAnsi="Arial"/>
          <w:b/>
          <w:bCs/>
          <w:i w:val="false"/>
          <w:color w:val="1F3A5F"/>
          <w:sz w:val="56"/>
          <w:szCs w:val="56"/>
          <w:rtl/>
        </w:rPr>
        <w:t xml:space="preserve">سارة العتيبي</w:t>
      </w:r>
    </w:p>
    <w:p>
      <w:pPr>
        <w:bidi/>
        <w:spacing w:after="90" w:before="0" w:line="276"/>
        <w:jc w:val="center"/>
      </w:pPr>
      <w:r>
        <w:rPr>
          <w:rFonts w:ascii="Arial" w:cs="Arial" w:eastAsia="Arial" w:hAnsi="Arial"/>
          <w:b w:val="false"/>
          <w:i w:val="false"/>
          <w:color w:val="5A6472"/>
          <w:sz w:val="26"/>
          <w:szCs w:val="26"/>
          <w:rtl/>
        </w:rPr>
        <w:t xml:space="preserve">أخصائية موارد بشرية</w:t>
      </w:r>
    </w:p>
    <w:p>
      <w:pPr>
        <w:bidi/>
        <w:spacing w:after="60" w:before="0" w:line="276"/>
        <w:jc w:val="center"/>
      </w:pPr>
      <w:r>
        <w:rPr>
          <w:rFonts w:ascii="Arial" w:cs="Arial" w:eastAsia="Arial" w:hAnsi="Arial"/>
          <w:b w:val="false"/>
          <w:i w:val="false"/>
          <w:sz w:val="19"/>
          <w:szCs w:val="19"/>
          <w:rtl/>
        </w:rPr>
        <w:t xml:space="preserve">الرياض، المملكة العربية السعودية</w:t>
      </w:r>
      <w:r>
        <w:rPr>
          <w:rFonts w:ascii="Arial" w:cs="Arial" w:eastAsia="Arial" w:hAnsi="Arial"/>
          <w:b w:val="false"/>
          <w:i w:val="false"/>
          <w:color w:val="AAAAAA"/>
          <w:sz w:val="19"/>
          <w:szCs w:val="19"/>
          <w:rtl/>
        </w:rPr>
        <w:t xml:space="preserve">   |   </w:t>
      </w:r>
      <w:r>
        <w:rPr>
          <w:rFonts w:ascii="Arial" w:cs="Arial" w:eastAsia="Arial" w:hAnsi="Arial"/>
          <w:b w:val="false"/>
          <w:sz w:val="19"/>
          <w:szCs w:val="19"/>
          <w:rtl w:val="false"/>
        </w:rPr>
        <w:t xml:space="preserve">‪+966 50 000 0000‬</w:t>
      </w:r>
      <w:r>
        <w:rPr>
          <w:rFonts w:ascii="Arial" w:cs="Arial" w:eastAsia="Arial" w:hAnsi="Arial"/>
          <w:b w:val="false"/>
          <w:i w:val="false"/>
          <w:color w:val="AAAAAA"/>
          <w:sz w:val="19"/>
          <w:szCs w:val="19"/>
          <w:rtl/>
        </w:rPr>
        <w:t xml:space="preserve">   |   </w:t>
      </w:r>
      <w:r>
        <w:rPr>
          <w:rFonts w:ascii="Arial" w:cs="Arial" w:eastAsia="Arial" w:hAnsi="Arial"/>
          <w:b w:val="false"/>
          <w:sz w:val="19"/>
          <w:szCs w:val="19"/>
          <w:rtl w:val="false"/>
        </w:rPr>
        <w:t xml:space="preserve">‪sara@example.com‬</w:t>
      </w:r>
      <w:r>
        <w:rPr>
          <w:rFonts w:ascii="Arial" w:cs="Arial" w:eastAsia="Arial" w:hAnsi="Arial"/>
          <w:b w:val="false"/>
          <w:i w:val="false"/>
          <w:color w:val="AAAAAA"/>
          <w:sz w:val="19"/>
          <w:szCs w:val="19"/>
          <w:rtl/>
        </w:rPr>
        <w:t xml:space="preserve">   |   </w:t>
      </w:r>
      <w:r>
        <w:rPr>
          <w:rFonts w:ascii="Arial" w:cs="Arial" w:eastAsia="Arial" w:hAnsi="Arial"/>
          <w:b w:val="false"/>
          <w:sz w:val="19"/>
          <w:szCs w:val="19"/>
          <w:rtl w:val="false"/>
        </w:rPr>
        <w:t xml:space="preserve">‪linkedin.com/in/sara‬</w:t>
      </w:r>
    </w:p>
    <w:p>
      <w:pPr>
        <w:keepNext/>
        <w:pBdr>
          <w:bottom w:val="single" w:color="C9D1DB" w:sz="6" w:space="3"/>
        </w:pBdr>
        <w:bidi/>
        <w:spacing w:after="90" w:before="220" w:line="276"/>
        <w:jc w:val="start"/>
      </w:pPr>
      <w:r>
        <w:rPr>
          <w:rFonts w:ascii="Arial" w:cs="Arial" w:eastAsia="Arial" w:hAnsi="Arial"/>
          <w:b/>
          <w:bCs/>
          <w:i w:val="false"/>
          <w:color w:val="1F3A5F"/>
          <w:sz w:val="24"/>
          <w:szCs w:val="24"/>
          <w:rtl/>
        </w:rPr>
        <w:t xml:space="preserve">الملخص المهني</w:t>
      </w:r>
    </w:p>
    <w:p>
      <w:pPr>
        <w:bidi/>
        <w:spacing w:after="60" w:before="0" w:line="300"/>
        <w:jc w:val="start"/>
      </w:pP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أخصائية موارد بشرية بخبرة ست سنوات في الاستقطاب وتطوير السياسات وقياس أداء الموظفين. أجمع بين الفهم القانوني لنظام العمل والقدرة على تحويل البيانات إلى قرارات توظيف أدق.</w:t>
      </w:r>
    </w:p>
    <w:p>
      <w:pPr>
        <w:keepNext/>
        <w:pBdr>
          <w:bottom w:val="single" w:color="C9D1DB" w:sz="6" w:space="3"/>
        </w:pBdr>
        <w:bidi/>
        <w:spacing w:after="90" w:before="220" w:line="276"/>
        <w:jc w:val="start"/>
      </w:pPr>
      <w:r>
        <w:rPr>
          <w:rFonts w:ascii="Arial" w:cs="Arial" w:eastAsia="Arial" w:hAnsi="Arial"/>
          <w:b/>
          <w:bCs/>
          <w:i w:val="false"/>
          <w:color w:val="1F3A5F"/>
          <w:sz w:val="24"/>
          <w:szCs w:val="24"/>
          <w:rtl/>
        </w:rPr>
        <w:t xml:space="preserve">الخبرة العملية</w:t>
      </w:r>
    </w:p>
    <w:p>
      <w:pPr>
        <w:keepNext/>
        <w:bidi/>
        <w:spacing w:after="10" w:before="0" w:line="276"/>
        <w:jc w:val="start"/>
      </w:pPr>
      <w:r>
        <w:rPr>
          <w:rFonts w:ascii="Arial" w:cs="Arial" w:eastAsia="Arial" w:hAnsi="Arial"/>
          <w:b/>
          <w:bCs/>
          <w:i w:val="false"/>
          <w:sz w:val="22"/>
          <w:szCs w:val="22"/>
          <w:rtl/>
        </w:rPr>
        <w:t xml:space="preserve">أخصائية موارد بشرية أولى</w:t>
      </w:r>
      <w:r>
        <w:rPr>
          <w:rFonts w:ascii="Arial" w:cs="Arial" w:eastAsia="Arial" w:hAnsi="Arial"/>
          <w:b w:val="false"/>
          <w:i w:val="false"/>
          <w:color w:val="AAAAAA"/>
          <w:sz w:val="21"/>
          <w:szCs w:val="21"/>
          <w:rtl/>
        </w:rPr>
        <w:t xml:space="preserve">  |  </w:t>
      </w:r>
      <w:r>
        <w:rPr>
          <w:rFonts w:ascii="Arial" w:cs="Arial" w:eastAsia="Arial" w:hAnsi="Arial"/>
          <w:b w:val="false"/>
          <w:i w:val="false"/>
          <w:color w:val="1F3A5F"/>
          <w:sz w:val="22"/>
          <w:szCs w:val="22"/>
          <w:rtl/>
        </w:rPr>
        <w:t xml:space="preserve">شركة الأفق للخدمات</w:t>
      </w:r>
    </w:p>
    <w:p>
      <w:pPr>
        <w:keepNext/>
        <w:bidi/>
        <w:spacing w:after="50" w:before="0" w:line="276"/>
        <w:jc w:val="start"/>
      </w:pPr>
      <w:r>
        <w:rPr>
          <w:rFonts w:ascii="Arial" w:cs="Arial" w:eastAsia="Arial" w:hAnsi="Arial"/>
          <w:b w:val="false"/>
          <w:i/>
          <w:iCs/>
          <w:color w:val="5A6472"/>
          <w:sz w:val="19"/>
          <w:szCs w:val="19"/>
          <w:rtl/>
        </w:rPr>
        <w:t xml:space="preserve">الرياض  |  2021 إلى الآن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قادت استقطاب 120 موظفاً في عام واحد، وخفضت متوسط زمن التوظيف من 45 يوماً إلى 28 يوماً.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أعدت دليل السياسات الداخلية وفق نظام العمل السعودي، وطبقت برنامج تهيئة للموظفين الجدد.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بنت لوحة شهرية لمؤشرات الدوران الوظيفي والرضا الوظيفي وقدمتها للإدارة العليا.</w:t>
      </w:r>
    </w:p>
    <w:p>
      <w:pPr>
        <w:bidi/>
        <w:spacing w:after="60" w:before="0" w:line="240"/>
        <w:jc w:val="start"/>
        <w:rPr>
          <w:sz w:val="2"/>
          <w:szCs w:val="2"/>
        </w:rPr>
      </w:pPr>
    </w:p>
    <w:p>
      <w:pPr>
        <w:keepNext/>
        <w:bidi/>
        <w:spacing w:after="10" w:before="0" w:line="276"/>
        <w:jc w:val="start"/>
      </w:pPr>
      <w:r>
        <w:rPr>
          <w:rFonts w:ascii="Arial" w:cs="Arial" w:eastAsia="Arial" w:hAnsi="Arial"/>
          <w:b/>
          <w:bCs/>
          <w:i w:val="false"/>
          <w:sz w:val="22"/>
          <w:szCs w:val="22"/>
          <w:rtl/>
        </w:rPr>
        <w:t xml:space="preserve">أخصائية توظيف</w:t>
      </w:r>
      <w:r>
        <w:rPr>
          <w:rFonts w:ascii="Arial" w:cs="Arial" w:eastAsia="Arial" w:hAnsi="Arial"/>
          <w:b w:val="false"/>
          <w:i w:val="false"/>
          <w:color w:val="AAAAAA"/>
          <w:sz w:val="21"/>
          <w:szCs w:val="21"/>
          <w:rtl/>
        </w:rPr>
        <w:t xml:space="preserve">  |  </w:t>
      </w:r>
      <w:r>
        <w:rPr>
          <w:rFonts w:ascii="Arial" w:cs="Arial" w:eastAsia="Arial" w:hAnsi="Arial"/>
          <w:b w:val="false"/>
          <w:i w:val="false"/>
          <w:color w:val="1F3A5F"/>
          <w:sz w:val="22"/>
          <w:szCs w:val="22"/>
          <w:rtl/>
        </w:rPr>
        <w:t xml:space="preserve">مجموعة النخبة</w:t>
      </w:r>
    </w:p>
    <w:p>
      <w:pPr>
        <w:keepNext/>
        <w:bidi/>
        <w:spacing w:after="50" w:before="0" w:line="276"/>
        <w:jc w:val="start"/>
      </w:pPr>
      <w:r>
        <w:rPr>
          <w:rFonts w:ascii="Arial" w:cs="Arial" w:eastAsia="Arial" w:hAnsi="Arial"/>
          <w:b w:val="false"/>
          <w:i/>
          <w:iCs/>
          <w:color w:val="5A6472"/>
          <w:sz w:val="19"/>
          <w:szCs w:val="19"/>
          <w:rtl/>
        </w:rPr>
        <w:t xml:space="preserve">جدة  |  2018 إلى 2021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أجرت أكثر من 400 مقابلة وظيفية في قطاعي التجزئة والخدمات اللوجستية.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طورت نماذج تقييم موحدة للمرشحين رفعت نسبة قبول العروض الوظيفية إلى 82%.</w:t>
      </w:r>
    </w:p>
    <w:p>
      <w:pPr>
        <w:bidi/>
        <w:spacing w:after="60" w:before="0" w:line="240"/>
        <w:jc w:val="start"/>
        <w:rPr>
          <w:sz w:val="2"/>
          <w:szCs w:val="2"/>
        </w:rPr>
      </w:pPr>
    </w:p>
    <w:p>
      <w:pPr>
        <w:keepNext/>
        <w:pBdr>
          <w:bottom w:val="single" w:color="C9D1DB" w:sz="6" w:space="3"/>
        </w:pBdr>
        <w:bidi/>
        <w:spacing w:after="90" w:before="220" w:line="276"/>
        <w:jc w:val="start"/>
      </w:pPr>
      <w:r>
        <w:rPr>
          <w:rFonts w:ascii="Arial" w:cs="Arial" w:eastAsia="Arial" w:hAnsi="Arial"/>
          <w:b/>
          <w:bCs/>
          <w:i w:val="false"/>
          <w:color w:val="1F3A5F"/>
          <w:sz w:val="24"/>
          <w:szCs w:val="24"/>
          <w:rtl/>
        </w:rPr>
        <w:t xml:space="preserve">التعليم</w:t>
      </w:r>
    </w:p>
    <w:p>
      <w:pPr>
        <w:bidi/>
        <w:spacing w:after="10" w:before="0" w:line="276"/>
        <w:jc w:val="start"/>
      </w:pPr>
      <w:r>
        <w:rPr>
          <w:rFonts w:ascii="Arial" w:cs="Arial" w:eastAsia="Arial" w:hAnsi="Arial"/>
          <w:b/>
          <w:bCs/>
          <w:i w:val="false"/>
          <w:sz w:val="22"/>
          <w:szCs w:val="22"/>
          <w:rtl/>
        </w:rPr>
        <w:t xml:space="preserve">بكالوريوس إدارة الأعمال، تخصص الموارد البشرية</w:t>
      </w:r>
    </w:p>
    <w:p>
      <w:pPr>
        <w:bidi/>
        <w:spacing w:after="60" w:before="0" w:line="276"/>
        <w:jc w:val="start"/>
      </w:pPr>
      <w:r>
        <w:rPr>
          <w:rFonts w:ascii="Arial" w:cs="Arial" w:eastAsia="Arial" w:hAnsi="Arial"/>
          <w:b w:val="false"/>
          <w:i/>
          <w:iCs/>
          <w:color w:val="5A6472"/>
          <w:sz w:val="19"/>
          <w:szCs w:val="19"/>
          <w:rtl/>
        </w:rPr>
        <w:t xml:space="preserve">جامعة الملك سعود  |  2018</w:t>
      </w:r>
    </w:p>
    <w:p>
      <w:pPr>
        <w:keepNext/>
        <w:pBdr>
          <w:bottom w:val="single" w:color="C9D1DB" w:sz="6" w:space="3"/>
        </w:pBdr>
        <w:bidi/>
        <w:spacing w:after="90" w:before="220" w:line="276"/>
        <w:jc w:val="start"/>
      </w:pPr>
      <w:r>
        <w:rPr>
          <w:rFonts w:ascii="Arial" w:cs="Arial" w:eastAsia="Arial" w:hAnsi="Arial"/>
          <w:b/>
          <w:bCs/>
          <w:i w:val="false"/>
          <w:color w:val="1F3A5F"/>
          <w:sz w:val="24"/>
          <w:szCs w:val="24"/>
          <w:rtl/>
        </w:rPr>
        <w:t xml:space="preserve">المهارات</w:t>
      </w:r>
    </w:p>
    <w:p>
      <w:pPr>
        <w:bidi/>
        <w:spacing w:after="60" w:before="0" w:line="320"/>
        <w:jc w:val="start"/>
      </w:pPr>
      <w:r>
        <w:rPr>
          <w:rFonts w:ascii="Arial" w:cs="Arial" w:eastAsia="Arial" w:hAnsi="Arial"/>
          <w:b w:val="false"/>
          <w:i w:val="false"/>
          <w:sz w:val="21"/>
          <w:szCs w:val="21"/>
          <w:rtl/>
        </w:rPr>
        <w:t xml:space="preserve">الاستقطاب والتوظيف   •   نظام العمل السعودي   •   تحليل بيانات الموارد البشرية   •   إدارة الأداء   •   برامج التهيئة   •   Excel المتقدم</w:t>
      </w:r>
    </w:p>
    <w:p>
      <w:pPr>
        <w:keepNext/>
        <w:pBdr>
          <w:bottom w:val="single" w:color="C9D1DB" w:sz="6" w:space="3"/>
        </w:pBdr>
        <w:bidi/>
        <w:spacing w:after="90" w:before="220" w:line="276"/>
        <w:jc w:val="start"/>
      </w:pPr>
      <w:r>
        <w:rPr>
          <w:rFonts w:ascii="Arial" w:cs="Arial" w:eastAsia="Arial" w:hAnsi="Arial"/>
          <w:b/>
          <w:bCs/>
          <w:i w:val="false"/>
          <w:color w:val="1F3A5F"/>
          <w:sz w:val="24"/>
          <w:szCs w:val="24"/>
          <w:rtl/>
        </w:rPr>
        <w:t xml:space="preserve">الشهادات واللغات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شهادة </w:t>
      </w:r>
      <w:r>
        <w:rPr>
          <w:rFonts w:ascii="Arial" w:cs="Arial" w:eastAsia="Arial" w:hAnsi="Arial"/>
          <w:b w:val="false"/>
          <w:sz w:val="20"/>
          <w:szCs w:val="20"/>
          <w:rtl w:val="false"/>
        </w:rPr>
        <w:t xml:space="preserve">SHRM-CP</w:t>
      </w:r>
      <w:r>
        <w:rPr>
          <w:rFonts w:ascii="Arial" w:cs="Arial" w:eastAsia="Arial" w:hAnsi="Arial"/>
          <w:b w:val="false"/>
          <w:i w:val="false"/>
          <w:color w:val="5A6472"/>
          <w:sz w:val="20"/>
          <w:szCs w:val="20"/>
          <w:rtl/>
        </w:rPr>
        <w:t xml:space="preserve">  |  2023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دبلوم تحليلات الموارد البشرية  |  2022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Arial" w:cs="Arial" w:eastAsia="Arial" w:hAnsi="Arial"/>
          <w:b w:val="false"/>
          <w:i w:val="false"/>
          <w:sz w:val="20"/>
          <w:szCs w:val="20"/>
          <w:rtl/>
        </w:rPr>
        <w:t xml:space="preserve">العربية: اللغة الأم   •   الإنجليزية: متقدمة</w:t>
      </w:r>
    </w:p>
    <w:sectPr>
      <w:pgSz w:w="11906" w:h="16838" w:orient="portrait"/>
      <w:pgMar w:top="850" w:right="1100" w:bottom="7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start="340" w:hanging="230"/>
      </w:pPr>
      <w:rPr>
        <w:rFonts w:ascii="Arial" w:cs="Arial" w:eastAsia="Arial" w:hAnsi="Arial"/>
        <w:color w:val="1F3A5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ذاتية: الأنيق</dc:title>
  <dc:creator>محتوى 0.4</dc:creator>
  <dc:description>قالب سيرة ذاتية عربي بصيغة Word</dc:description>
  <cp:lastModifiedBy>Un-named</cp:lastModifiedBy>
  <cp:revision>1</cp:revision>
  <dcterms:created xsi:type="dcterms:W3CDTF">2026-10-24T09:01:50.870Z</dcterms:created>
  <dcterms:modified xsi:type="dcterms:W3CDTF">2026-10-24T09:01:50.878Z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